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E32" w:rsidRPr="00950E32" w:rsidRDefault="009657E4" w:rsidP="009657E4">
      <w:pPr>
        <w:spacing w:afterLines="50" w:after="156"/>
        <w:rPr>
          <w:rFonts w:ascii="黑体" w:eastAsia="黑体" w:hAnsi="黑体" w:cs="Times New Roman"/>
          <w:b/>
          <w:sz w:val="24"/>
          <w:szCs w:val="24"/>
        </w:rPr>
      </w:pPr>
      <w:bookmarkStart w:id="0" w:name="_Hlk83719722"/>
      <w:r w:rsidRPr="00C92A0B">
        <w:rPr>
          <w:rFonts w:ascii="华文仿宋" w:eastAsia="华文仿宋" w:hAnsi="华文仿宋" w:cs="Times New Roman" w:hint="eastAsia"/>
          <w:bCs/>
          <w:sz w:val="30"/>
          <w:szCs w:val="30"/>
        </w:rPr>
        <w:t>附件2：</w:t>
      </w:r>
      <w:r w:rsidRPr="00C92A0B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>
        <w:rPr>
          <w:rFonts w:ascii="黑体" w:eastAsia="黑体" w:hAnsi="黑体" w:cs="Times New Roman"/>
          <w:b/>
          <w:sz w:val="24"/>
          <w:szCs w:val="24"/>
        </w:rPr>
        <w:t xml:space="preserve">             </w:t>
      </w:r>
      <w:r w:rsidR="00950E32" w:rsidRPr="00950E32">
        <w:rPr>
          <w:rFonts w:ascii="黑体" w:eastAsia="黑体" w:hAnsi="黑体" w:cs="Times New Roman" w:hint="eastAsia"/>
          <w:b/>
          <w:sz w:val="24"/>
          <w:szCs w:val="24"/>
        </w:rPr>
        <w:t>太原工业学院课程评估指标体系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52"/>
        <w:gridCol w:w="4348"/>
        <w:gridCol w:w="322"/>
        <w:gridCol w:w="322"/>
        <w:gridCol w:w="368"/>
        <w:gridCol w:w="368"/>
      </w:tblGrid>
      <w:tr w:rsidR="00950E32" w:rsidRPr="00950E32" w:rsidTr="007D2AAE">
        <w:trPr>
          <w:trHeight w:val="344"/>
          <w:tblHeader/>
        </w:trPr>
        <w:tc>
          <w:tcPr>
            <w:tcW w:w="1242" w:type="dxa"/>
            <w:vMerge w:val="restart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Chars="-54" w:left="-111" w:rightChars="-18" w:right="-38" w:hanging="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一级指标</w:t>
            </w:r>
          </w:p>
        </w:tc>
        <w:tc>
          <w:tcPr>
            <w:tcW w:w="1552" w:type="dxa"/>
            <w:vMerge w:val="restart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二级指标</w:t>
            </w:r>
          </w:p>
        </w:tc>
        <w:tc>
          <w:tcPr>
            <w:tcW w:w="0" w:type="auto"/>
            <w:vMerge w:val="restart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评估标准</w:t>
            </w:r>
            <w:r w:rsidRPr="00950E32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A</w:t>
            </w:r>
            <w:r w:rsidRPr="00950E3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级</w:t>
            </w:r>
          </w:p>
        </w:tc>
        <w:tc>
          <w:tcPr>
            <w:tcW w:w="0" w:type="auto"/>
            <w:gridSpan w:val="4"/>
            <w:vAlign w:val="center"/>
          </w:tcPr>
          <w:p w:rsidR="00950E32" w:rsidRPr="00950E32" w:rsidRDefault="00950E32" w:rsidP="00950E32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评估等级</w:t>
            </w:r>
          </w:p>
        </w:tc>
      </w:tr>
      <w:tr w:rsidR="00950E32" w:rsidRPr="00950E32" w:rsidTr="007D2AAE">
        <w:trPr>
          <w:trHeight w:val="272"/>
          <w:tblHeader/>
        </w:trPr>
        <w:tc>
          <w:tcPr>
            <w:tcW w:w="124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Chars="-54" w:left="-111" w:rightChars="-18" w:right="-38" w:hanging="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50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50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</w:rPr>
            </w:pPr>
            <w:r w:rsidRPr="00950E32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</w:rPr>
              <w:t>C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jc w:val="center"/>
              <w:rPr>
                <w:rFonts w:ascii="Times New Roman" w:eastAsia="仿宋" w:hAnsi="Times New Roman" w:cs="宋体"/>
                <w:b/>
                <w:bCs/>
                <w:color w:val="000000"/>
                <w:kern w:val="0"/>
              </w:rPr>
            </w:pPr>
            <w:r w:rsidRPr="00950E32">
              <w:rPr>
                <w:rFonts w:ascii="Times New Roman" w:eastAsia="仿宋" w:hAnsi="Times New Roman" w:cs="宋体" w:hint="eastAsia"/>
                <w:b/>
                <w:bCs/>
                <w:color w:val="000000"/>
                <w:kern w:val="0"/>
              </w:rPr>
              <w:t>D</w:t>
            </w: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Merge w:val="restart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1.课程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 xml:space="preserve">  目标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950E32">
              <w:rPr>
                <w:rFonts w:ascii="仿宋" w:eastAsia="仿宋" w:hAnsi="仿宋" w:cs="Times New Roman"/>
                <w:szCs w:val="21"/>
              </w:rPr>
              <w:t>.1</w:t>
            </w:r>
            <w:r w:rsidRPr="00950E32">
              <w:rPr>
                <w:rFonts w:ascii="仿宋" w:eastAsia="仿宋" w:hAnsi="仿宋" w:cs="Times New Roman" w:hint="eastAsia"/>
                <w:szCs w:val="21"/>
              </w:rPr>
              <w:t>课程目标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评分依据：专业人才培养方案、课程教学大纲等。</w:t>
            </w:r>
          </w:p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="525" w:hangingChars="250" w:hanging="525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（1）课程支撑的毕业要求指标</w:t>
            </w:r>
            <w:proofErr w:type="gramStart"/>
            <w:r w:rsidRPr="00950E32">
              <w:rPr>
                <w:rFonts w:ascii="仿宋" w:eastAsia="仿宋" w:hAnsi="仿宋" w:cs="Times New Roman" w:hint="eastAsia"/>
                <w:szCs w:val="21"/>
              </w:rPr>
              <w:t>点明确</w:t>
            </w:r>
            <w:proofErr w:type="gramEnd"/>
            <w:r w:rsidRPr="00950E32">
              <w:rPr>
                <w:rFonts w:ascii="仿宋" w:eastAsia="仿宋" w:hAnsi="仿宋" w:cs="Times New Roman" w:hint="eastAsia"/>
                <w:szCs w:val="21"/>
              </w:rPr>
              <w:t>合理，且对支撑关系有合理的解释，课程目标与毕业要求指标点挂钩清晰。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（2）课程</w:t>
            </w:r>
            <w:proofErr w:type="gramStart"/>
            <w:r w:rsidRPr="00950E32">
              <w:rPr>
                <w:rFonts w:ascii="仿宋" w:eastAsia="仿宋" w:hAnsi="仿宋" w:cs="Times New Roman" w:hint="eastAsia"/>
                <w:szCs w:val="21"/>
              </w:rPr>
              <w:t>思政目标</w:t>
            </w:r>
            <w:proofErr w:type="gramEnd"/>
            <w:r w:rsidRPr="00950E32">
              <w:rPr>
                <w:rFonts w:ascii="仿宋" w:eastAsia="仿宋" w:hAnsi="仿宋" w:cs="Times New Roman" w:hint="eastAsia"/>
                <w:szCs w:val="21"/>
              </w:rPr>
              <w:t>明确。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hanging="2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950E32">
              <w:rPr>
                <w:rFonts w:ascii="仿宋" w:eastAsia="仿宋" w:hAnsi="仿宋" w:cs="Times New Roman"/>
                <w:szCs w:val="21"/>
              </w:rPr>
              <w:t>.</w:t>
            </w:r>
            <w:r w:rsidRPr="00950E32">
              <w:rPr>
                <w:rFonts w:ascii="仿宋" w:eastAsia="仿宋" w:hAnsi="仿宋" w:cs="Times New Roman" w:hint="eastAsia"/>
                <w:szCs w:val="21"/>
              </w:rPr>
              <w:t>2目标表述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评分依据：专业人才培养方案、课程教学大纲、课程授课计划和课程教案等。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="525" w:hangingChars="250" w:hanging="525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（1）课程目标和单元教学目标描述清晰、合理、可衡量、可达成，反映毕业生发展预期，体现专业特色和优势。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="525" w:hangingChars="250" w:hanging="525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（2）课程</w:t>
            </w:r>
            <w:proofErr w:type="gramStart"/>
            <w:r w:rsidRPr="00950E32">
              <w:rPr>
                <w:rFonts w:ascii="仿宋" w:eastAsia="仿宋" w:hAnsi="仿宋" w:cs="Times New Roman" w:hint="eastAsia"/>
                <w:szCs w:val="21"/>
              </w:rPr>
              <w:t>思政目标</w:t>
            </w:r>
            <w:proofErr w:type="gramEnd"/>
            <w:r w:rsidRPr="00950E32">
              <w:rPr>
                <w:rFonts w:ascii="仿宋" w:eastAsia="仿宋" w:hAnsi="仿宋" w:cs="Times New Roman" w:hint="eastAsia"/>
                <w:szCs w:val="21"/>
              </w:rPr>
              <w:t>和单元教学</w:t>
            </w:r>
            <w:proofErr w:type="gramStart"/>
            <w:r w:rsidRPr="00950E32">
              <w:rPr>
                <w:rFonts w:ascii="仿宋" w:eastAsia="仿宋" w:hAnsi="仿宋" w:cs="Times New Roman" w:hint="eastAsia"/>
                <w:szCs w:val="21"/>
              </w:rPr>
              <w:t>思政目标</w:t>
            </w:r>
            <w:proofErr w:type="gramEnd"/>
            <w:r w:rsidRPr="00950E32">
              <w:rPr>
                <w:rFonts w:ascii="仿宋" w:eastAsia="仿宋" w:hAnsi="仿宋" w:cs="Times New Roman" w:hint="eastAsia"/>
                <w:szCs w:val="21"/>
              </w:rPr>
              <w:t>描述清晰、合理、可衡量、可达成，反映毕业生发展预期，体现专业特色和优势。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801"/>
        </w:trPr>
        <w:tc>
          <w:tcPr>
            <w:tcW w:w="1242" w:type="dxa"/>
            <w:vMerge w:val="restart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2.课程内容与教学方式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2.1课程内容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评分依据：课程教学大纲、课程授课计划和课程教案等。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="525" w:hangingChars="250" w:hanging="525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（1）课程内容与课程目标匹配度高，能够有效实现课程目标。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="525" w:hangingChars="250" w:hanging="525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（2）有效挖掘提取</w:t>
            </w:r>
            <w:proofErr w:type="gramStart"/>
            <w:r w:rsidRPr="00950E32">
              <w:rPr>
                <w:rFonts w:ascii="仿宋" w:eastAsia="仿宋" w:hAnsi="仿宋" w:cs="Times New Roman" w:hint="eastAsia"/>
                <w:szCs w:val="21"/>
              </w:rPr>
              <w:t>课程思政元素</w:t>
            </w:r>
            <w:proofErr w:type="gramEnd"/>
            <w:r w:rsidRPr="00950E32">
              <w:rPr>
                <w:rFonts w:ascii="仿宋" w:eastAsia="仿宋" w:hAnsi="仿宋" w:cs="Times New Roman" w:hint="eastAsia"/>
                <w:szCs w:val="21"/>
              </w:rPr>
              <w:t>，</w:t>
            </w:r>
            <w:proofErr w:type="gramStart"/>
            <w:r w:rsidRPr="00950E32">
              <w:rPr>
                <w:rFonts w:ascii="仿宋" w:eastAsia="仿宋" w:hAnsi="仿宋" w:cs="Times New Roman" w:hint="eastAsia"/>
                <w:szCs w:val="21"/>
              </w:rPr>
              <w:t>课程思政</w:t>
            </w:r>
            <w:r w:rsidRPr="00950E32">
              <w:rPr>
                <w:rFonts w:ascii="仿宋" w:eastAsia="仿宋" w:hAnsi="仿宋" w:cs="Times New Roman"/>
                <w:szCs w:val="21"/>
              </w:rPr>
              <w:t>与</w:t>
            </w:r>
            <w:proofErr w:type="gramEnd"/>
            <w:r w:rsidRPr="00950E32">
              <w:rPr>
                <w:rFonts w:ascii="仿宋" w:eastAsia="仿宋" w:hAnsi="仿宋" w:cs="Times New Roman"/>
                <w:szCs w:val="21"/>
              </w:rPr>
              <w:t>思想政治理论课同向同行，协同效应</w:t>
            </w:r>
            <w:r w:rsidRPr="00950E32">
              <w:rPr>
                <w:rFonts w:ascii="仿宋" w:eastAsia="仿宋" w:hAnsi="仿宋" w:cs="Times New Roman" w:hint="eastAsia"/>
                <w:szCs w:val="21"/>
              </w:rPr>
              <w:t>明显。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849"/>
        </w:trPr>
        <w:tc>
          <w:tcPr>
            <w:tcW w:w="124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2.2教学方法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评分依据：课程教学大纲、课程授课计划和课程教案等。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教学方法与教学内容匹配度高，能够有效实现课程目标。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847"/>
        </w:trPr>
        <w:tc>
          <w:tcPr>
            <w:tcW w:w="124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2.3教学手段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评分依据：课程教学大纲、课程授课计划和课程教案等。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教学手段与教学方法和教学内容匹配度高，能够保障有效实现课程目标。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3.课程考核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3.1课程考核的方式、内容和评分标准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评分依据：课程教学大纲、课程教案，课堂（单元）、课程考核（含作业、实验实训报告）文档，课程目标的达成分析报告等。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课程考核的方式、内容和评分标准能够针对课程目标设计，考核结果能够证明课程目标的达成情况。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4.课程反思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4.1课程反思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评分依据：课程反思报告。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课程反思报告原生态：（前一轮课程评估改进措施落实及）成效、问题分析准确具体。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5.课程持续改进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5.1持续改进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评分依据：课程持续改进计划。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改进思路和措施合理，可操作，有时间表和改进后的可考评的预期结果。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Merge w:val="restart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6.教学文件管理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6.1授课计划</w:t>
            </w:r>
          </w:p>
        </w:tc>
        <w:tc>
          <w:tcPr>
            <w:tcW w:w="0" w:type="auto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评分依据：课程授课计划。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授课计划格式规范，内容与教学大纲相符，进度安排合适，按计划执行。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ind w:left="210" w:hangingChars="100" w:hanging="2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6.2教案与课件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评分依据：课程教案、教学课件。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课程教案规范齐全，备课认真充分，有适合本课程教学的教学辅助工具（教具、课件等）。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Merge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6.3教学记录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评分依据：教学记录文档。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对学生的平时出勤、作业、实验等考核过程记载清楚，成绩记载规范；实验、实习、课程设</w:t>
            </w:r>
            <w:r w:rsidRPr="00950E32">
              <w:rPr>
                <w:rFonts w:ascii="仿宋" w:eastAsia="仿宋" w:hAnsi="仿宋" w:cs="Times New Roman" w:hint="eastAsia"/>
                <w:szCs w:val="21"/>
              </w:rPr>
              <w:lastRenderedPageBreak/>
              <w:t>计等环节的教学日志齐全，记录完整。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7.课程特色</w:t>
            </w:r>
          </w:p>
        </w:tc>
        <w:tc>
          <w:tcPr>
            <w:tcW w:w="155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7.1特色项目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评分依据：特色项目总结报告及佐证资料。</w:t>
            </w:r>
          </w:p>
          <w:p w:rsidR="00950E32" w:rsidRPr="00950E32" w:rsidRDefault="00950E32" w:rsidP="00950E32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b/>
                <w:szCs w:val="21"/>
              </w:rPr>
              <w:t>评分标准：</w:t>
            </w:r>
          </w:p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  <w:r w:rsidRPr="00950E32">
              <w:rPr>
                <w:rFonts w:ascii="仿宋" w:eastAsia="仿宋" w:hAnsi="仿宋" w:cs="Times New Roman" w:hint="eastAsia"/>
                <w:szCs w:val="21"/>
              </w:rPr>
              <w:t>有重大教学改革举措，并取得突出成效：在教学方法、教学研究、教书育人、能力培养、素质教育等方面有创新，在校、省、国家获奖、推广或有重大影响的项目。</w:t>
            </w: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spacing w:line="40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950E32" w:rsidRPr="00950E32" w:rsidTr="007D2AAE">
        <w:trPr>
          <w:trHeight w:val="363"/>
        </w:trPr>
        <w:tc>
          <w:tcPr>
            <w:tcW w:w="1242" w:type="dxa"/>
            <w:vAlign w:val="center"/>
          </w:tcPr>
          <w:p w:rsidR="00950E32" w:rsidRPr="00950E32" w:rsidRDefault="00950E32" w:rsidP="00950E3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950E32">
              <w:rPr>
                <w:rFonts w:ascii="Times New Roman" w:eastAsia="仿宋" w:hAnsi="Times New Roman" w:cs="Times New Roman" w:hint="eastAsia"/>
              </w:rPr>
              <w:t>评估结论</w:t>
            </w:r>
          </w:p>
        </w:tc>
        <w:tc>
          <w:tcPr>
            <w:tcW w:w="8838" w:type="dxa"/>
            <w:gridSpan w:val="6"/>
            <w:vAlign w:val="center"/>
          </w:tcPr>
          <w:p w:rsidR="00950E32" w:rsidRPr="00950E32" w:rsidRDefault="00950E32" w:rsidP="00950E32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950E32" w:rsidRPr="00950E32" w:rsidRDefault="00950E32" w:rsidP="00950E32">
      <w:pPr>
        <w:adjustRightInd w:val="0"/>
        <w:snapToGrid w:val="0"/>
        <w:spacing w:line="440" w:lineRule="exact"/>
        <w:rPr>
          <w:rFonts w:ascii="Times New Roman" w:eastAsia="仿宋" w:hAnsi="Times New Roman" w:cs="Times New Roman"/>
          <w:sz w:val="15"/>
          <w:szCs w:val="15"/>
        </w:rPr>
      </w:pPr>
    </w:p>
    <w:p w:rsidR="00950E32" w:rsidRPr="00950E32" w:rsidRDefault="00950E32" w:rsidP="00950E32">
      <w:pPr>
        <w:adjustRightInd w:val="0"/>
        <w:snapToGrid w:val="0"/>
        <w:spacing w:line="440" w:lineRule="exact"/>
        <w:rPr>
          <w:rFonts w:ascii="Times New Roman" w:eastAsia="仿宋" w:hAnsi="Times New Roman" w:cs="Times New Roman"/>
          <w:b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说明：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1.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指标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1.1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课程目标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）</w:t>
      </w:r>
      <w:proofErr w:type="gramStart"/>
      <w:r w:rsidRPr="00950E32">
        <w:rPr>
          <w:rFonts w:ascii="Times New Roman" w:eastAsia="仿宋" w:hAnsi="Times New Roman" w:cs="Times New Roman" w:hint="eastAsia"/>
          <w:sz w:val="24"/>
          <w:szCs w:val="24"/>
        </w:rPr>
        <w:t>课程思政是</w:t>
      </w:r>
      <w:proofErr w:type="gramEnd"/>
      <w:r w:rsidRPr="00950E32">
        <w:rPr>
          <w:rFonts w:ascii="Times New Roman" w:eastAsia="仿宋" w:hAnsi="Times New Roman" w:cs="Times New Roman" w:hint="eastAsia"/>
          <w:sz w:val="24"/>
          <w:szCs w:val="24"/>
        </w:rPr>
        <w:t>“三全育人”的首要任务和重要举措。关于“课程思政目标”，指的是将基础知识、专业知识、专业技能中隐性的</w:t>
      </w:r>
      <w:proofErr w:type="gramStart"/>
      <w:r w:rsidRPr="00950E32">
        <w:rPr>
          <w:rFonts w:ascii="Times New Roman" w:eastAsia="仿宋" w:hAnsi="Times New Roman" w:cs="Times New Roman" w:hint="eastAsia"/>
          <w:sz w:val="24"/>
          <w:szCs w:val="24"/>
        </w:rPr>
        <w:t>思政教育</w:t>
      </w:r>
      <w:proofErr w:type="gramEnd"/>
      <w:r w:rsidRPr="00950E32">
        <w:rPr>
          <w:rFonts w:ascii="Times New Roman" w:eastAsia="仿宋" w:hAnsi="Times New Roman" w:cs="Times New Roman" w:hint="eastAsia"/>
          <w:sz w:val="24"/>
          <w:szCs w:val="24"/>
        </w:rPr>
        <w:t>目的显性化，让学生明白基础知识、专业知识、专业技能背后的价值意蕴，明白“学什么”、“为什么学”和“学会能做什么”的终极意义。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）针对“解决复杂工程问题”的能力培养，是否明确不同类型课程所承担的任务，并在课程大纲中有所体现。例如：基础课应加强识别、表达和分析复杂工程问题能力的培养；专业基础课、专业课应加强分析</w:t>
      </w:r>
      <w:r w:rsidRPr="00950E32">
        <w:rPr>
          <w:rFonts w:ascii="Times New Roman" w:eastAsia="仿宋" w:hAnsi="Times New Roman" w:cs="Times New Roman"/>
          <w:sz w:val="24"/>
          <w:szCs w:val="24"/>
        </w:rPr>
        <w:t>/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开发</w:t>
      </w:r>
      <w:r w:rsidRPr="00950E32">
        <w:rPr>
          <w:rFonts w:ascii="Times New Roman" w:eastAsia="仿宋" w:hAnsi="Times New Roman" w:cs="Times New Roman"/>
          <w:sz w:val="24"/>
          <w:szCs w:val="24"/>
        </w:rPr>
        <w:t>/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应用能力的培养；综合性实践课应体现综合运用知识解决实际问题的能力培养。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2. 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指标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1.2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目标表述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sz w:val="24"/>
          <w:szCs w:val="24"/>
        </w:rPr>
        <w:t>建议重点关注目标描述是否符合以下范式：</w:t>
      </w:r>
    </w:p>
    <w:p w:rsidR="00950E32" w:rsidRPr="00950E32" w:rsidRDefault="00950E32" w:rsidP="00950E32">
      <w:pPr>
        <w:adjustRightInd w:val="0"/>
        <w:snapToGrid w:val="0"/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sz w:val="24"/>
          <w:szCs w:val="24"/>
        </w:rPr>
        <w:t>{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行为主体（学习者）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+}{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行为条件（在什么条件下或通过什么过程与方法）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+}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行为动词（能做什么或会什么）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+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表现程度（行为主体的行为应达到的程度什么）。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3. 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指标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3.1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课程考核的方式、内容和评分标准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sz w:val="24"/>
          <w:szCs w:val="24"/>
        </w:rPr>
        <w:t>是否重点考核学生完成规定标准的能力如何。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4. 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指标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4.1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课程反思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sz w:val="24"/>
          <w:szCs w:val="24"/>
        </w:rPr>
        <w:t>建议着重于：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一致性：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目标达成了吗？学生学习本（单元、节）课之前和学习本（单元、节）课之后，最大的不同是什么？</w:t>
      </w:r>
      <w:r w:rsidRPr="00950E32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有效性：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本（单元、节）课意图实现了吗？教师是否逐一去梳理、审视重要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lastRenderedPageBreak/>
        <w:t>的教学事件，看看事件的意图实现了没有。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趣味性：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本（单元、节）</w:t>
      </w:r>
      <w:proofErr w:type="gramStart"/>
      <w:r w:rsidRPr="00950E32">
        <w:rPr>
          <w:rFonts w:ascii="Times New Roman" w:eastAsia="仿宋" w:hAnsi="Times New Roman" w:cs="Times New Roman" w:hint="eastAsia"/>
          <w:sz w:val="24"/>
          <w:szCs w:val="24"/>
        </w:rPr>
        <w:t>课状态</w:t>
      </w:r>
      <w:proofErr w:type="gramEnd"/>
      <w:r w:rsidRPr="00950E32">
        <w:rPr>
          <w:rFonts w:ascii="Times New Roman" w:eastAsia="仿宋" w:hAnsi="Times New Roman" w:cs="Times New Roman" w:hint="eastAsia"/>
          <w:sz w:val="24"/>
          <w:szCs w:val="24"/>
        </w:rPr>
        <w:t>激活了吗？如果反观整个教学中，超三分之一的时间，学生的状态比较低迷，这个教学设计就是有问题的。</w:t>
      </w:r>
    </w:p>
    <w:p w:rsidR="00950E32" w:rsidRPr="00950E32" w:rsidRDefault="00950E32" w:rsidP="00950E32">
      <w:pPr>
        <w:spacing w:line="440" w:lineRule="exact"/>
        <w:ind w:firstLineChars="200" w:firstLine="482"/>
        <w:rPr>
          <w:rFonts w:ascii="Times New Roman" w:eastAsia="仿宋" w:hAnsi="Times New Roman" w:cs="Times New Roman"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适配性：</w:t>
      </w:r>
      <w:r w:rsidRPr="00950E32">
        <w:rPr>
          <w:rFonts w:ascii="Times New Roman" w:eastAsia="仿宋" w:hAnsi="Times New Roman" w:cs="Times New Roman" w:hint="eastAsia"/>
          <w:sz w:val="24"/>
          <w:szCs w:val="24"/>
        </w:rPr>
        <w:t>本（单元、节）课策略效用如何？教师选择的策略和内容匹配吗？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5. </w:t>
      </w:r>
      <w:r w:rsidRPr="00950E32">
        <w:rPr>
          <w:rFonts w:ascii="Times New Roman" w:eastAsia="仿宋" w:hAnsi="Times New Roman" w:cs="Times New Roman" w:hint="eastAsia"/>
          <w:b/>
          <w:sz w:val="24"/>
          <w:szCs w:val="24"/>
        </w:rPr>
        <w:t>评估评级和结论</w:t>
      </w:r>
    </w:p>
    <w:p w:rsidR="00950E32" w:rsidRPr="00950E32" w:rsidRDefault="00950E32" w:rsidP="00950E32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950E32">
        <w:rPr>
          <w:rFonts w:ascii="仿宋" w:eastAsia="仿宋" w:hAnsi="仿宋" w:cs="Times New Roman" w:hint="eastAsia"/>
          <w:sz w:val="24"/>
          <w:szCs w:val="24"/>
        </w:rPr>
        <w:t>（1）</w:t>
      </w:r>
      <w:r w:rsidRPr="00950E32">
        <w:rPr>
          <w:rFonts w:ascii="仿宋" w:eastAsia="仿宋" w:hAnsi="仿宋" w:cs="Times New Roman" w:hint="eastAsia"/>
          <w:b/>
          <w:sz w:val="24"/>
          <w:szCs w:val="24"/>
        </w:rPr>
        <w:t>评估评级：</w:t>
      </w:r>
      <w:r w:rsidRPr="00950E32">
        <w:rPr>
          <w:rFonts w:ascii="仿宋" w:eastAsia="仿宋" w:hAnsi="仿宋" w:cs="Times New Roman" w:hint="eastAsia"/>
          <w:sz w:val="24"/>
          <w:szCs w:val="24"/>
        </w:rPr>
        <w:t>按二级指标分别评出A、B、C、D四个相应等级，{A、B、C、D的系数分别为</w:t>
      </w:r>
      <w:proofErr w:type="gramStart"/>
      <w:r w:rsidRPr="00950E32">
        <w:rPr>
          <w:rFonts w:ascii="仿宋" w:eastAsia="仿宋" w:hAnsi="仿宋" w:cs="Times New Roman" w:hint="eastAsia"/>
          <w:bCs/>
          <w:sz w:val="24"/>
          <w:szCs w:val="24"/>
        </w:rPr>
        <w:t>〔</w:t>
      </w:r>
      <w:proofErr w:type="gramEnd"/>
      <w:r w:rsidRPr="00950E32">
        <w:rPr>
          <w:rFonts w:ascii="仿宋" w:eastAsia="仿宋" w:hAnsi="仿宋" w:cs="Times New Roman"/>
          <w:bCs/>
          <w:sz w:val="24"/>
          <w:szCs w:val="24"/>
        </w:rPr>
        <w:t>1</w:t>
      </w:r>
      <w:r w:rsidRPr="00950E32">
        <w:rPr>
          <w:rFonts w:ascii="仿宋" w:eastAsia="仿宋" w:hAnsi="仿宋" w:cs="Times New Roman" w:hint="eastAsia"/>
          <w:bCs/>
          <w:sz w:val="24"/>
          <w:szCs w:val="24"/>
        </w:rPr>
        <w:t>,0.8)</w:t>
      </w:r>
      <w:r w:rsidRPr="00950E32">
        <w:rPr>
          <w:rFonts w:ascii="仿宋" w:eastAsia="仿宋" w:hAnsi="仿宋" w:cs="Times New Roman"/>
          <w:bCs/>
          <w:sz w:val="24"/>
          <w:szCs w:val="24"/>
        </w:rPr>
        <w:t>、</w:t>
      </w:r>
      <w:proofErr w:type="gramStart"/>
      <w:r w:rsidRPr="00950E32">
        <w:rPr>
          <w:rFonts w:ascii="仿宋" w:eastAsia="仿宋" w:hAnsi="仿宋" w:cs="Times New Roman" w:hint="eastAsia"/>
          <w:bCs/>
          <w:sz w:val="24"/>
          <w:szCs w:val="24"/>
        </w:rPr>
        <w:t>〔</w:t>
      </w:r>
      <w:proofErr w:type="gramEnd"/>
      <w:r w:rsidRPr="00950E32">
        <w:rPr>
          <w:rFonts w:ascii="仿宋" w:eastAsia="仿宋" w:hAnsi="仿宋" w:cs="Times New Roman"/>
          <w:bCs/>
          <w:sz w:val="24"/>
          <w:szCs w:val="24"/>
        </w:rPr>
        <w:t>0.</w:t>
      </w:r>
      <w:r w:rsidRPr="00950E32">
        <w:rPr>
          <w:rFonts w:ascii="仿宋" w:eastAsia="仿宋" w:hAnsi="仿宋" w:cs="Times New Roman" w:hint="eastAsia"/>
          <w:bCs/>
          <w:sz w:val="24"/>
          <w:szCs w:val="24"/>
        </w:rPr>
        <w:t>8,0.6)</w:t>
      </w:r>
      <w:r w:rsidRPr="00950E32">
        <w:rPr>
          <w:rFonts w:ascii="仿宋" w:eastAsia="仿宋" w:hAnsi="仿宋" w:cs="Times New Roman"/>
          <w:bCs/>
          <w:sz w:val="24"/>
          <w:szCs w:val="24"/>
        </w:rPr>
        <w:t>、</w:t>
      </w:r>
      <w:proofErr w:type="gramStart"/>
      <w:r w:rsidRPr="00950E32">
        <w:rPr>
          <w:rFonts w:ascii="仿宋" w:eastAsia="仿宋" w:hAnsi="仿宋" w:cs="Times New Roman" w:hint="eastAsia"/>
          <w:bCs/>
          <w:sz w:val="24"/>
          <w:szCs w:val="24"/>
        </w:rPr>
        <w:t>〔</w:t>
      </w:r>
      <w:proofErr w:type="gramEnd"/>
      <w:r w:rsidRPr="00950E32">
        <w:rPr>
          <w:rFonts w:ascii="仿宋" w:eastAsia="仿宋" w:hAnsi="仿宋" w:cs="Times New Roman"/>
          <w:bCs/>
          <w:sz w:val="24"/>
          <w:szCs w:val="24"/>
        </w:rPr>
        <w:t>0.</w:t>
      </w:r>
      <w:r w:rsidRPr="00950E32">
        <w:rPr>
          <w:rFonts w:ascii="仿宋" w:eastAsia="仿宋" w:hAnsi="仿宋" w:cs="Times New Roman" w:hint="eastAsia"/>
          <w:bCs/>
          <w:sz w:val="24"/>
          <w:szCs w:val="24"/>
        </w:rPr>
        <w:t>6,0.4)</w:t>
      </w:r>
      <w:r w:rsidRPr="00950E32">
        <w:rPr>
          <w:rFonts w:ascii="仿宋" w:eastAsia="仿宋" w:hAnsi="仿宋" w:cs="Times New Roman"/>
          <w:bCs/>
          <w:sz w:val="24"/>
          <w:szCs w:val="24"/>
        </w:rPr>
        <w:t>、</w:t>
      </w:r>
      <w:proofErr w:type="gramStart"/>
      <w:r w:rsidRPr="00950E32">
        <w:rPr>
          <w:rFonts w:ascii="仿宋" w:eastAsia="仿宋" w:hAnsi="仿宋" w:cs="Times New Roman" w:hint="eastAsia"/>
          <w:bCs/>
          <w:sz w:val="24"/>
          <w:szCs w:val="24"/>
        </w:rPr>
        <w:t>〔</w:t>
      </w:r>
      <w:proofErr w:type="gramEnd"/>
      <w:r w:rsidRPr="00950E32">
        <w:rPr>
          <w:rFonts w:ascii="仿宋" w:eastAsia="仿宋" w:hAnsi="仿宋" w:cs="Times New Roman"/>
          <w:bCs/>
          <w:sz w:val="24"/>
          <w:szCs w:val="24"/>
        </w:rPr>
        <w:t>0.</w:t>
      </w:r>
      <w:r w:rsidRPr="00950E32">
        <w:rPr>
          <w:rFonts w:ascii="仿宋" w:eastAsia="仿宋" w:hAnsi="仿宋" w:cs="Times New Roman" w:hint="eastAsia"/>
          <w:bCs/>
          <w:sz w:val="24"/>
          <w:szCs w:val="24"/>
        </w:rPr>
        <w:t>4,0</w:t>
      </w:r>
      <w:proofErr w:type="gramStart"/>
      <w:r w:rsidRPr="00950E32">
        <w:rPr>
          <w:rFonts w:ascii="仿宋" w:eastAsia="仿宋" w:hAnsi="仿宋" w:cs="Times New Roman" w:hint="eastAsia"/>
          <w:bCs/>
          <w:sz w:val="24"/>
          <w:szCs w:val="24"/>
        </w:rPr>
        <w:t>〕</w:t>
      </w:r>
      <w:proofErr w:type="gramEnd"/>
      <w:r w:rsidRPr="00950E32">
        <w:rPr>
          <w:rFonts w:ascii="仿宋" w:eastAsia="仿宋" w:hAnsi="仿宋" w:cs="Times New Roman" w:hint="eastAsia"/>
          <w:bCs/>
          <w:sz w:val="24"/>
          <w:szCs w:val="24"/>
        </w:rPr>
        <w:t>}</w:t>
      </w:r>
    </w:p>
    <w:p w:rsidR="002E68D1" w:rsidRPr="00950E32" w:rsidRDefault="00950E32" w:rsidP="00AB6E67">
      <w:pPr>
        <w:adjustRightInd w:val="0"/>
        <w:snapToGrid w:val="0"/>
        <w:spacing w:line="440" w:lineRule="exact"/>
        <w:ind w:firstLineChars="200" w:firstLine="480"/>
      </w:pPr>
      <w:r w:rsidRPr="00950E32">
        <w:rPr>
          <w:rFonts w:ascii="仿宋" w:eastAsia="仿宋" w:hAnsi="仿宋" w:cs="Times New Roman" w:hint="eastAsia"/>
          <w:sz w:val="24"/>
          <w:szCs w:val="24"/>
        </w:rPr>
        <w:t>（2</w:t>
      </w:r>
      <w:r w:rsidRPr="00950E32">
        <w:rPr>
          <w:rFonts w:ascii="仿宋" w:eastAsia="仿宋" w:hAnsi="仿宋" w:cs="Times New Roman"/>
          <w:sz w:val="24"/>
          <w:szCs w:val="24"/>
        </w:rPr>
        <w:t>）</w:t>
      </w:r>
      <w:r w:rsidRPr="00950E32">
        <w:rPr>
          <w:rFonts w:ascii="仿宋" w:eastAsia="仿宋" w:hAnsi="仿宋" w:cs="Times New Roman" w:hint="eastAsia"/>
          <w:b/>
          <w:sz w:val="24"/>
          <w:szCs w:val="24"/>
        </w:rPr>
        <w:t>评估结论：</w:t>
      </w:r>
      <w:r w:rsidRPr="00950E32">
        <w:rPr>
          <w:rFonts w:ascii="仿宋" w:eastAsia="仿宋" w:hAnsi="仿宋" w:cs="Times New Roman" w:hint="eastAsia"/>
          <w:sz w:val="24"/>
          <w:szCs w:val="24"/>
        </w:rPr>
        <w:t>分通过、不通过两种。二级指标至少有6个A</w:t>
      </w:r>
      <w:proofErr w:type="gramStart"/>
      <w:r w:rsidRPr="00950E32">
        <w:rPr>
          <w:rFonts w:ascii="仿宋" w:eastAsia="仿宋" w:hAnsi="仿宋" w:cs="Times New Roman" w:hint="eastAsia"/>
          <w:sz w:val="24"/>
          <w:szCs w:val="24"/>
        </w:rPr>
        <w:t>切且不得</w:t>
      </w:r>
      <w:proofErr w:type="gramEnd"/>
      <w:r w:rsidRPr="00950E32">
        <w:rPr>
          <w:rFonts w:ascii="仿宋" w:eastAsia="仿宋" w:hAnsi="仿宋" w:cs="Times New Roman" w:hint="eastAsia"/>
          <w:sz w:val="24"/>
          <w:szCs w:val="24"/>
        </w:rPr>
        <w:t>有D，或至少有8个B及以上等级且不得有D方可评为通过。二级指标至少有8个A且无C和D方可评定为通过且为优质</w:t>
      </w:r>
      <w:r w:rsidR="00AB6E67">
        <w:rPr>
          <w:rFonts w:ascii="仿宋" w:eastAsia="仿宋" w:hAnsi="仿宋" w:cs="Times New Roman" w:hint="eastAsia"/>
          <w:sz w:val="24"/>
          <w:szCs w:val="24"/>
        </w:rPr>
        <w:t>课程。</w:t>
      </w:r>
      <w:bookmarkEnd w:id="0"/>
    </w:p>
    <w:sectPr w:rsidR="002E68D1" w:rsidRPr="00950E32" w:rsidSect="006D2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539" w:rsidRDefault="00ED7539" w:rsidP="00AB6E67">
      <w:r>
        <w:separator/>
      </w:r>
    </w:p>
  </w:endnote>
  <w:endnote w:type="continuationSeparator" w:id="0">
    <w:p w:rsidR="00ED7539" w:rsidRDefault="00ED7539" w:rsidP="00A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539" w:rsidRDefault="00ED7539" w:rsidP="00AB6E67">
      <w:r>
        <w:separator/>
      </w:r>
    </w:p>
  </w:footnote>
  <w:footnote w:type="continuationSeparator" w:id="0">
    <w:p w:rsidR="00ED7539" w:rsidRDefault="00ED7539" w:rsidP="00AB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32"/>
    <w:rsid w:val="0018288C"/>
    <w:rsid w:val="001D6BE3"/>
    <w:rsid w:val="001D78B4"/>
    <w:rsid w:val="00247DC8"/>
    <w:rsid w:val="00485B2E"/>
    <w:rsid w:val="00547181"/>
    <w:rsid w:val="00556F66"/>
    <w:rsid w:val="005C3D70"/>
    <w:rsid w:val="006D2534"/>
    <w:rsid w:val="006E2D99"/>
    <w:rsid w:val="006F2163"/>
    <w:rsid w:val="007337A6"/>
    <w:rsid w:val="00740DEF"/>
    <w:rsid w:val="0080119C"/>
    <w:rsid w:val="00862FB1"/>
    <w:rsid w:val="00950E32"/>
    <w:rsid w:val="009657E4"/>
    <w:rsid w:val="009A512E"/>
    <w:rsid w:val="00A063DA"/>
    <w:rsid w:val="00AB6E67"/>
    <w:rsid w:val="00C92A0B"/>
    <w:rsid w:val="00D33BB0"/>
    <w:rsid w:val="00D43A0D"/>
    <w:rsid w:val="00DC67D0"/>
    <w:rsid w:val="00E57FD6"/>
    <w:rsid w:val="00ED7539"/>
    <w:rsid w:val="00E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3AEC39D-C3C6-4A6D-AD39-0223CFBB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0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01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</cp:lastModifiedBy>
  <cp:revision>5</cp:revision>
  <cp:lastPrinted>2023-04-10T02:29:00Z</cp:lastPrinted>
  <dcterms:created xsi:type="dcterms:W3CDTF">2021-09-28T02:54:00Z</dcterms:created>
  <dcterms:modified xsi:type="dcterms:W3CDTF">2023-04-10T02:33:00Z</dcterms:modified>
</cp:coreProperties>
</file>